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夏邑县人民法院202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年上半年民事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案件发生率及分布情况报告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年1-6月，夏邑法院民事案件共新收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5094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件，较去年同期的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4693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件，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8.55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%。其中5个基层法庭新收案件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2967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件，占全院民事新收案件总数的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58.25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%，具体情况如下：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一、民事一审新收案件情况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850"/>
        <w:gridCol w:w="1800"/>
        <w:gridCol w:w="1755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案由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年1-6月新收（件）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年1-6月新收（件）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增幅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44444"/>
                <w:kern w:val="0"/>
                <w:sz w:val="28"/>
                <w:szCs w:val="28"/>
                <w:shd w:val="clear" w:color="auto" w:fill="FFFFFF"/>
              </w:rPr>
              <w:t>婚姻家庭、继承纠纷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1081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1405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-23.06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44444"/>
                <w:kern w:val="0"/>
                <w:sz w:val="28"/>
                <w:szCs w:val="28"/>
                <w:shd w:val="clear" w:color="auto" w:fill="FFFFFF"/>
              </w:rPr>
              <w:t>合同、准合同纠纷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3036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2299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32.06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44444"/>
                <w:kern w:val="0"/>
                <w:sz w:val="28"/>
                <w:szCs w:val="28"/>
                <w:shd w:val="clear" w:color="auto" w:fill="FFFFFF"/>
              </w:rPr>
              <w:t>侵权责任纠纷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376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375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0.2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44444"/>
                <w:kern w:val="0"/>
                <w:sz w:val="28"/>
                <w:szCs w:val="28"/>
                <w:shd w:val="clear" w:color="auto" w:fill="FFFFFF"/>
              </w:rPr>
              <w:t>物权纠纷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123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134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-8.2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44444"/>
                <w:kern w:val="0"/>
                <w:sz w:val="28"/>
                <w:szCs w:val="28"/>
                <w:shd w:val="clear" w:color="auto" w:fill="FFFFFF"/>
              </w:rPr>
              <w:t>劳动争议纠纷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35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37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-5.4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从案由分析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可以看出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1-6月份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合同、准合同纠纷最多，该类案件新收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3036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件，占新收案件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59.60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%，其次为婚姻家庭、继承纠纷与侵权责任纠纷，占比分别为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21.22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%和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7.38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婚姻家庭、继承纠纷，物权纠纷及劳动争议纠纷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外占比较重的其他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大案由新收的案件数量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仅出现小幅上升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。 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</w:rPr>
        <w:t>二、民事案件发生率反映出的社会问题分析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（一）面对金融机构调控，借款类合同纠纷案件增多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随着社会经济发展水平的不断提升，民间资本逐渐增多，部分资金持有人转向回报率高、操作简单的民间借贷，尤其高利借贷的行列。借款人与出借人法律意识淡薄，部分借贷利率过高，导致借贷方偿还不起借款。部分借款人想法设法“拖债”、“逃债”，造成“还款难”的局面。疫情结束后，中小微企业所面临的经营困境有所缓解，随着集中清收活动的开展，促使银行等金融部门更多的在法院起诉收贷，要求其归还。另一方面，民间借贷案件基数较大，借款人只顾自身利益，法律意识淡薄，想方设法讨债、脱债，出借人缺乏风险防范意识，造成民间个人对个人之间的借贷在法院大量诉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（二）对婚姻的价值观、观念转变，离婚案件大幅下降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影响婚姻稳定性的因素有很多，比如外出务工导致夫妻异地、价值观的不同、婚后幸福指数低，加之年轻人存在婚前接触较少，婚前感情基础薄弱，婚后感情建立不牢等一系列原因导致离婚纠纷案件增加。但随着冷静期和调解力度的加大，一时冲动造成的离婚比例下降。离婚案件的下降，为维护社会稳定提供了有力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</w:rPr>
        <w:t>）诉源治理取得一定成效，但重点领域风险化解不容松懈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年1-6月，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侵权责任纠纷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FFFFFF"/>
        </w:rPr>
        <w:t>物权纠纷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受案量与2023年的案件数量基本一致，表明对社会治安溯源治理工作取得一定成效。但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主要民事案件仍有较大基数，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民生领域等重点领域的民事案件均形成较大体量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社会治理是一项复杂的系统工程，坚持目标问题导向和解决一体化，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夏邑法院应当强化责任担当，摸清安全稳定风险底数，妥善化解矛盾纠纷，为经济社会的稳定发展保驾护航。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</w:rPr>
        <w:t>三、综合治理建议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加大普法宣传力度，提升群众证据意识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随着法治建设的进步，群众的法律意识明显增强，也树立了有矛盾纠纷依靠法律解决的基本思想意识。但在具体的案件中，人民群众对法律知识的理解和掌握还不够透彻，证据意识较低。在日常活动如婚嫁、借贷、交通事故中无法及时有效的留存相关证据，即使提交了证据，对证据是否具有真实性、合法性和关联性以及该证据能否证明待证事实也不够理解，因此也无法理解自己为什么提供了证据却依旧败诉。对此，应进一步加大普法宣传力度，在普法宣传活动中为人民群众树立正确的举证证明意识，在判后也应为群众做好释法明理工作，以便人民群众更好的维护自己的合法权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增强机制建设，多途径化解纠纷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积极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发挥人民法院在多元化化解矛盾纠纷解决机制中的主导和核心作用，加大对人民调解工作的指导力度，通过人民调解、行政调解、行业调解等多种途径调处矛盾纠纷，将诉讼手段和非诉讼手段有效衔接，力争矛盾解决在萌芽状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充分发挥审判权的规范、引导和监督作用，完善诉讼与仲裁、行政调处、人民调解、行业调解及其他非诉讼纠纷解决方式之间的衔接机制，推动各种纠纷解决机制的组织和程序制度建设。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（三）做好道德宣传，引导良好公序良俗环境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积极发挥法院示范作用，以强有力的严肃形象引领良好公序良俗环境建设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积极开展“法院开放日”活动，设立法院道德讲堂，深入校园、社区和城镇乡村，传播社会公序良俗范畴的道德思想，为人民群众树立正确的价值导向，引导人民群众按道德规范自觉规范自己的言行举止，从而减少民事纠纷的产生，创造和谐稳定的生活环境。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color w:val="FF0000"/>
          <w:kern w:val="0"/>
          <w:sz w:val="32"/>
          <w:szCs w:val="32"/>
          <w:highlight w:val="none"/>
          <w:shd w:val="clear" w:color="auto" w:fill="FFFFFF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kern w:val="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ODFjMDM4YzBmNzhkNzE0YWFiMjQzYmFiZjRkZGQifQ=="/>
  </w:docVars>
  <w:rsids>
    <w:rsidRoot w:val="00E606E9"/>
    <w:rsid w:val="00271C71"/>
    <w:rsid w:val="00631EC1"/>
    <w:rsid w:val="00A30331"/>
    <w:rsid w:val="00D35C54"/>
    <w:rsid w:val="00E06140"/>
    <w:rsid w:val="00E606E9"/>
    <w:rsid w:val="00EA3BAA"/>
    <w:rsid w:val="0507382A"/>
    <w:rsid w:val="074D1872"/>
    <w:rsid w:val="07A877C1"/>
    <w:rsid w:val="09DE0E1D"/>
    <w:rsid w:val="0FCF0DE1"/>
    <w:rsid w:val="11A14A78"/>
    <w:rsid w:val="16E93CEC"/>
    <w:rsid w:val="1E175306"/>
    <w:rsid w:val="21817522"/>
    <w:rsid w:val="23C468AF"/>
    <w:rsid w:val="25BE027C"/>
    <w:rsid w:val="29B93BE7"/>
    <w:rsid w:val="391B28E7"/>
    <w:rsid w:val="3B766F2E"/>
    <w:rsid w:val="3D9024F8"/>
    <w:rsid w:val="3F5F8383"/>
    <w:rsid w:val="44543D10"/>
    <w:rsid w:val="45771A6C"/>
    <w:rsid w:val="4600744E"/>
    <w:rsid w:val="47A4618F"/>
    <w:rsid w:val="4B0B2F89"/>
    <w:rsid w:val="4C1A2160"/>
    <w:rsid w:val="4C816E58"/>
    <w:rsid w:val="4FBD7862"/>
    <w:rsid w:val="5FEFFADC"/>
    <w:rsid w:val="665D7054"/>
    <w:rsid w:val="69A72567"/>
    <w:rsid w:val="6A3D1B3F"/>
    <w:rsid w:val="75B60997"/>
    <w:rsid w:val="7D6535AA"/>
    <w:rsid w:val="7DFA7F06"/>
    <w:rsid w:val="7EB03808"/>
    <w:rsid w:val="B8FF09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1582</Words>
  <Characters>1686</Characters>
  <Lines>12</Lines>
  <Paragraphs>3</Paragraphs>
  <TotalTime>13</TotalTime>
  <ScaleCrop>false</ScaleCrop>
  <LinksUpToDate>false</LinksUpToDate>
  <CharactersWithSpaces>1686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2022-11-15T07:03:00Z</dcterms:created>
  <dc:creator>Administrator</dc:creator>
  <cp:lastModifiedBy>ziguang</cp:lastModifiedBy>
  <cp:lastPrinted>2022-11-15T09:05:00Z</cp:lastPrinted>
  <dcterms:modified xsi:type="dcterms:W3CDTF">2025-01-13T15:08:48Z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752975FFFC424D17B41BA9882AB4D034</vt:lpwstr>
  </property>
</Properties>
</file>